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1939F" w14:textId="3B07D1AA" w:rsidR="00D761BE" w:rsidRPr="00D761BE" w:rsidRDefault="00D761BE" w:rsidP="00D761BE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permStart w:id="893412463" w:edGrp="everyone"/>
      <w:permEnd w:id="893412463"/>
      <w:r w:rsidRPr="00D761BE">
        <w:rPr>
          <w:rFonts w:ascii="Arial" w:hAnsi="Arial" w:cs="Arial"/>
          <w:b/>
          <w:color w:val="000000" w:themeColor="text1"/>
        </w:rPr>
        <w:t>OBRAZLOŽENJE</w:t>
      </w:r>
    </w:p>
    <w:p w14:paraId="1FA735C0" w14:textId="7AF16BCB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 xml:space="preserve">Sukladno Zakonu o lokalnim porezima </w:t>
      </w:r>
      <w:r w:rsidRPr="009A351C">
        <w:rPr>
          <w:rFonts w:ascii="Arial" w:hAnsi="Arial" w:cs="Arial"/>
          <w:color w:val="000000" w:themeColor="text1"/>
        </w:rPr>
        <w:t>(»Narodne novine« broj 115/16</w:t>
      </w:r>
      <w:r>
        <w:rPr>
          <w:rFonts w:ascii="Arial" w:hAnsi="Arial" w:cs="Arial"/>
          <w:color w:val="000000" w:themeColor="text1"/>
        </w:rPr>
        <w:t>. i 101/2017.</w:t>
      </w:r>
      <w:r w:rsidRPr="009A351C">
        <w:rPr>
          <w:rFonts w:ascii="Arial" w:hAnsi="Arial" w:cs="Arial"/>
          <w:color w:val="000000" w:themeColor="text1"/>
        </w:rPr>
        <w:t>)</w:t>
      </w:r>
      <w:r w:rsidR="00A34B36">
        <w:rPr>
          <w:rFonts w:ascii="Arial" w:hAnsi="Arial" w:cs="Arial"/>
          <w:color w:val="000000" w:themeColor="text1"/>
        </w:rPr>
        <w:t xml:space="preserve">, a nakon donesenih izmjena i dopuna istog Zakona  predlaže se donošenje Odluke o porezima Grada Crikvenice koja se daje </w:t>
      </w:r>
      <w:r>
        <w:rPr>
          <w:rFonts w:ascii="Arial" w:hAnsi="Arial" w:cs="Arial"/>
          <w:color w:val="000000" w:themeColor="text1"/>
        </w:rPr>
        <w:t>na savjetovanje</w:t>
      </w:r>
      <w:r w:rsidR="00A34B36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Odlukom se propisuje uvođenje prireza porezu na dohodak, poreza na potrošnju i poreza na kuće za odmor. Ovom se odlukom ne mijenja visina poreznih opterećenja niti za jedan porez</w:t>
      </w:r>
      <w:r w:rsidR="00A34B36">
        <w:rPr>
          <w:rFonts w:ascii="Arial" w:hAnsi="Arial" w:cs="Arial"/>
          <w:color w:val="000000" w:themeColor="text1"/>
        </w:rPr>
        <w:t>, također se ne predlaže uvođenje novih poreza, v</w:t>
      </w:r>
      <w:r>
        <w:rPr>
          <w:rFonts w:ascii="Arial" w:hAnsi="Arial" w:cs="Arial"/>
          <w:color w:val="000000" w:themeColor="text1"/>
        </w:rPr>
        <w:t>eće se vrši usklađivanje sukladno odredbama novog zakona koji definira ovu tematiku.</w:t>
      </w:r>
      <w:r w:rsidR="00A34B36">
        <w:rPr>
          <w:rFonts w:ascii="Arial" w:hAnsi="Arial" w:cs="Arial"/>
          <w:color w:val="000000" w:themeColor="text1"/>
        </w:rPr>
        <w:t xml:space="preserve"> </w:t>
      </w:r>
    </w:p>
    <w:p w14:paraId="74A3A649" w14:textId="75CBA978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21316452" w14:textId="1254310D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42EA87E1" w14:textId="665C063B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7367FA2B" w14:textId="1C4EE94D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1A58FD20" w14:textId="508D2972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527BE4A9" w14:textId="7E0AB5B6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7BEA0CF0" w14:textId="427AB021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77C3C544" w14:textId="72663E50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57716A50" w14:textId="50642087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2C40CCC9" w14:textId="6B6848BC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1ABB3F26" w14:textId="5A884229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385EF36A" w14:textId="041E0281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0E52D0E1" w14:textId="3F5AD69D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1AE80C72" w14:textId="0115B767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3929A29D" w14:textId="2E3D10AE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77B5AB37" w14:textId="35EAC6E3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0ADCC976" w14:textId="15CDD8BE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1500B2F7" w14:textId="77777777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0A1CD58D" w14:textId="77777777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290B1E4A" w14:textId="0F789529" w:rsidR="00D761BE" w:rsidRDefault="00D761BE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NACRT PRIJEDLOGA</w:t>
      </w:r>
    </w:p>
    <w:p w14:paraId="13CAD9F1" w14:textId="0D058D51" w:rsidR="00EF51EF" w:rsidRPr="009A351C" w:rsidRDefault="00EF51EF" w:rsidP="00DD0AE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9A351C">
        <w:rPr>
          <w:rFonts w:ascii="Arial" w:hAnsi="Arial" w:cs="Arial"/>
          <w:color w:val="000000" w:themeColor="text1"/>
        </w:rPr>
        <w:t>Na temelju</w:t>
      </w:r>
      <w:r w:rsidR="00495EC9">
        <w:rPr>
          <w:rFonts w:ascii="Arial" w:hAnsi="Arial" w:cs="Arial"/>
          <w:color w:val="000000" w:themeColor="text1"/>
        </w:rPr>
        <w:t xml:space="preserve"> </w:t>
      </w:r>
      <w:r w:rsidR="009A351C">
        <w:rPr>
          <w:rFonts w:ascii="Arial" w:hAnsi="Arial" w:cs="Arial"/>
          <w:color w:val="000000" w:themeColor="text1"/>
        </w:rPr>
        <w:t>stavka 1. članka 42.</w:t>
      </w:r>
      <w:r w:rsidRPr="009A351C">
        <w:rPr>
          <w:rFonts w:ascii="Arial" w:hAnsi="Arial" w:cs="Arial"/>
          <w:color w:val="000000" w:themeColor="text1"/>
        </w:rPr>
        <w:t xml:space="preserve"> Zakona o lokalnim porezima (»Narodne novine« broj 115/16</w:t>
      </w:r>
      <w:r w:rsidR="00D860A4">
        <w:rPr>
          <w:rFonts w:ascii="Arial" w:hAnsi="Arial" w:cs="Arial"/>
          <w:color w:val="000000" w:themeColor="text1"/>
        </w:rPr>
        <w:t>. i 101/2017.</w:t>
      </w:r>
      <w:r w:rsidRPr="009A351C">
        <w:rPr>
          <w:rFonts w:ascii="Arial" w:hAnsi="Arial" w:cs="Arial"/>
          <w:color w:val="000000" w:themeColor="text1"/>
        </w:rPr>
        <w:t>)</w:t>
      </w:r>
      <w:r w:rsidR="00DD0AE9" w:rsidRPr="009A351C">
        <w:rPr>
          <w:rFonts w:ascii="Arial" w:hAnsi="Arial" w:cs="Arial"/>
          <w:color w:val="000000" w:themeColor="text1"/>
        </w:rPr>
        <w:t xml:space="preserve">, </w:t>
      </w:r>
      <w:r w:rsidR="009B489B" w:rsidRPr="009A351C">
        <w:rPr>
          <w:rFonts w:ascii="Arial" w:hAnsi="Arial" w:cs="Arial"/>
          <w:color w:val="000000" w:themeColor="text1"/>
        </w:rPr>
        <w:t>i članka 30. Statuta Grada Crikvenica („Službene novine broj 26/09. i 34/09-ispravak i 07/13) Gradsko vijeće Grada Crikvenice, na sjednici održanoj _________ donosi</w:t>
      </w:r>
    </w:p>
    <w:p w14:paraId="6817A4D3" w14:textId="77777777" w:rsidR="00EF51EF" w:rsidRPr="00DD0AE9" w:rsidRDefault="00EF51EF" w:rsidP="00EF51EF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DD0AE9">
        <w:rPr>
          <w:rFonts w:ascii="Arial" w:hAnsi="Arial" w:cs="Arial"/>
          <w:b/>
          <w:bCs/>
          <w:color w:val="000000"/>
        </w:rPr>
        <w:t>O D L U K U</w:t>
      </w:r>
      <w:r w:rsidRPr="00DD0AE9">
        <w:rPr>
          <w:rFonts w:ascii="Arial" w:hAnsi="Arial" w:cs="Arial"/>
          <w:b/>
          <w:bCs/>
          <w:color w:val="000000"/>
        </w:rPr>
        <w:br/>
        <w:t>o porezima Grada Crikvenice</w:t>
      </w:r>
    </w:p>
    <w:p w14:paraId="6E1B2E48" w14:textId="77777777" w:rsidR="00132AAB" w:rsidRPr="00DD0AE9" w:rsidRDefault="00132AAB" w:rsidP="00EF51EF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 w:rsidRPr="00DD0AE9">
        <w:rPr>
          <w:rFonts w:ascii="Arial" w:hAnsi="Arial" w:cs="Arial"/>
          <w:color w:val="231F20"/>
        </w:rPr>
        <w:t>I. OPĆ</w:t>
      </w:r>
      <w:r w:rsidR="00493A5E">
        <w:rPr>
          <w:rFonts w:ascii="Arial" w:hAnsi="Arial" w:cs="Arial"/>
          <w:color w:val="231F20"/>
        </w:rPr>
        <w:t>E</w:t>
      </w:r>
      <w:r w:rsidRPr="00DD0AE9">
        <w:rPr>
          <w:rFonts w:ascii="Arial" w:hAnsi="Arial" w:cs="Arial"/>
          <w:color w:val="231F20"/>
        </w:rPr>
        <w:t xml:space="preserve"> ODREDB</w:t>
      </w:r>
      <w:r w:rsidR="00493A5E">
        <w:rPr>
          <w:rFonts w:ascii="Arial" w:hAnsi="Arial" w:cs="Arial"/>
          <w:color w:val="231F20"/>
        </w:rPr>
        <w:t>E</w:t>
      </w:r>
    </w:p>
    <w:p w14:paraId="23CB751F" w14:textId="77777777" w:rsidR="00EF51EF" w:rsidRPr="00DD0AE9" w:rsidRDefault="00EF51EF" w:rsidP="00EF51EF">
      <w:pPr>
        <w:pStyle w:val="box454091"/>
        <w:spacing w:before="34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  <w:r w:rsidRPr="00DD0AE9">
        <w:rPr>
          <w:rFonts w:ascii="Arial" w:hAnsi="Arial" w:cs="Arial"/>
          <w:color w:val="231F20"/>
        </w:rPr>
        <w:t>Članak 1.</w:t>
      </w:r>
    </w:p>
    <w:p w14:paraId="4F58EE91" w14:textId="77777777" w:rsidR="00493A5E" w:rsidRDefault="00EF51EF" w:rsidP="00035313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DD0AE9">
        <w:rPr>
          <w:rFonts w:ascii="Arial" w:hAnsi="Arial" w:cs="Arial"/>
          <w:color w:val="231F20"/>
        </w:rPr>
        <w:t xml:space="preserve">Ovom se Odlukom </w:t>
      </w:r>
      <w:r w:rsidR="0043376E" w:rsidRPr="00DD0AE9">
        <w:rPr>
          <w:rFonts w:ascii="Arial" w:hAnsi="Arial" w:cs="Arial"/>
          <w:color w:val="231F20"/>
        </w:rPr>
        <w:t>utvrđuje se</w:t>
      </w:r>
      <w:r w:rsidR="00493A5E">
        <w:rPr>
          <w:rFonts w:ascii="Arial" w:hAnsi="Arial" w:cs="Arial"/>
          <w:color w:val="231F20"/>
        </w:rPr>
        <w:t>:</w:t>
      </w:r>
    </w:p>
    <w:p w14:paraId="21C51562" w14:textId="77777777" w:rsidR="00493A5E" w:rsidRDefault="00493A5E" w:rsidP="00493A5E">
      <w:pPr>
        <w:pStyle w:val="box454091"/>
        <w:numPr>
          <w:ilvl w:val="0"/>
          <w:numId w:val="1"/>
        </w:numPr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vrste lokalnih poreza koji se uvode za područje Grada Crikvenice</w:t>
      </w:r>
    </w:p>
    <w:p w14:paraId="20D208E0" w14:textId="77777777" w:rsidR="00493A5E" w:rsidRDefault="00493A5E" w:rsidP="00493A5E">
      <w:pPr>
        <w:pStyle w:val="box454091"/>
        <w:numPr>
          <w:ilvl w:val="0"/>
          <w:numId w:val="1"/>
        </w:numPr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visina stope prireza porezu na dohodak,</w:t>
      </w:r>
    </w:p>
    <w:p w14:paraId="34AB3CA9" w14:textId="77777777" w:rsidR="00493A5E" w:rsidRDefault="00493A5E" w:rsidP="00493A5E">
      <w:pPr>
        <w:pStyle w:val="box454091"/>
        <w:numPr>
          <w:ilvl w:val="0"/>
          <w:numId w:val="1"/>
        </w:numPr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visina stope poreza na potrošnju,</w:t>
      </w:r>
    </w:p>
    <w:p w14:paraId="2842FD95" w14:textId="5F8F9408" w:rsidR="00493A5E" w:rsidRDefault="00493A5E" w:rsidP="00493A5E">
      <w:pPr>
        <w:pStyle w:val="box454091"/>
        <w:numPr>
          <w:ilvl w:val="0"/>
          <w:numId w:val="1"/>
        </w:numPr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prijenos ovlasti za utvrđivanje i naplatu </w:t>
      </w:r>
      <w:r w:rsidRPr="0006622A">
        <w:rPr>
          <w:rFonts w:ascii="Arial" w:hAnsi="Arial" w:cs="Arial"/>
          <w:color w:val="000000" w:themeColor="text1"/>
        </w:rPr>
        <w:t>pojedinih lok</w:t>
      </w:r>
      <w:r w:rsidR="0006622A" w:rsidRPr="0006622A">
        <w:rPr>
          <w:rFonts w:ascii="Arial" w:hAnsi="Arial" w:cs="Arial"/>
          <w:color w:val="000000" w:themeColor="text1"/>
        </w:rPr>
        <w:t>alnih</w:t>
      </w:r>
      <w:r w:rsidRPr="0006622A">
        <w:rPr>
          <w:rFonts w:ascii="Arial" w:hAnsi="Arial" w:cs="Arial"/>
          <w:color w:val="000000" w:themeColor="text1"/>
        </w:rPr>
        <w:t xml:space="preserve"> poreza </w:t>
      </w:r>
      <w:r>
        <w:rPr>
          <w:rFonts w:ascii="Arial" w:hAnsi="Arial" w:cs="Arial"/>
          <w:color w:val="231F20"/>
        </w:rPr>
        <w:t>na Ministarstvo financija, Poreznu upravu.</w:t>
      </w:r>
    </w:p>
    <w:p w14:paraId="1547D358" w14:textId="77777777" w:rsidR="006D3706" w:rsidRDefault="006D3706" w:rsidP="00493A5E">
      <w:pPr>
        <w:pStyle w:val="box454091"/>
        <w:spacing w:before="0" w:beforeAutospacing="0" w:after="48" w:afterAutospacing="0"/>
        <w:ind w:left="408"/>
        <w:jc w:val="both"/>
        <w:textAlignment w:val="baseline"/>
        <w:rPr>
          <w:rFonts w:ascii="Arial" w:hAnsi="Arial" w:cs="Arial"/>
          <w:color w:val="231F20"/>
        </w:rPr>
      </w:pPr>
    </w:p>
    <w:p w14:paraId="2D06FCF8" w14:textId="78FCCCC0" w:rsidR="00E009E7" w:rsidRPr="00493A5E" w:rsidRDefault="00493A5E" w:rsidP="00493A5E">
      <w:pPr>
        <w:pStyle w:val="box454091"/>
        <w:spacing w:before="0" w:beforeAutospacing="0" w:after="48" w:afterAutospacing="0"/>
        <w:ind w:left="4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Gradski porezi jesu:</w:t>
      </w:r>
    </w:p>
    <w:p w14:paraId="002386A5" w14:textId="77777777" w:rsidR="00EF51EF" w:rsidRPr="009B489B" w:rsidRDefault="00EF51EF" w:rsidP="00EF51EF">
      <w:pPr>
        <w:pStyle w:val="box454091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9B489B">
        <w:rPr>
          <w:rFonts w:ascii="Arial" w:hAnsi="Arial" w:cs="Arial"/>
          <w:color w:val="231F20"/>
        </w:rPr>
        <w:t>1. prirez porezu na dohodak,</w:t>
      </w:r>
    </w:p>
    <w:p w14:paraId="6DF12588" w14:textId="77777777" w:rsidR="00EF51EF" w:rsidRPr="009B489B" w:rsidRDefault="00EF51EF" w:rsidP="00EF51EF">
      <w:pPr>
        <w:pStyle w:val="box454091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9B489B">
        <w:rPr>
          <w:rFonts w:ascii="Arial" w:hAnsi="Arial" w:cs="Arial"/>
          <w:color w:val="231F20"/>
        </w:rPr>
        <w:t>2. porez na potrošnju,</w:t>
      </w:r>
    </w:p>
    <w:p w14:paraId="5739B816" w14:textId="77777777" w:rsidR="00EF51EF" w:rsidRPr="009B489B" w:rsidRDefault="00EF51EF" w:rsidP="00EF51EF">
      <w:pPr>
        <w:pStyle w:val="box454091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9B489B">
        <w:rPr>
          <w:rFonts w:ascii="Arial" w:hAnsi="Arial" w:cs="Arial"/>
          <w:color w:val="231F20"/>
        </w:rPr>
        <w:t>3. porez na kuće za odmor,</w:t>
      </w:r>
      <w:r w:rsidR="00DC2D54">
        <w:rPr>
          <w:rFonts w:ascii="Arial" w:hAnsi="Arial" w:cs="Arial"/>
          <w:color w:val="231F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E86F1B" w14:textId="763CF503" w:rsidR="00493A5E" w:rsidRDefault="00493A5E" w:rsidP="0006622A">
      <w:pPr>
        <w:pStyle w:val="box454091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</w:p>
    <w:p w14:paraId="7B1C62D2" w14:textId="77777777" w:rsidR="00A1283C" w:rsidRDefault="00A1283C" w:rsidP="0006622A">
      <w:pPr>
        <w:pStyle w:val="box454091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</w:p>
    <w:p w14:paraId="30FB25C4" w14:textId="77777777" w:rsidR="00493A5E" w:rsidRPr="009B489B" w:rsidRDefault="00493A5E" w:rsidP="00493A5E">
      <w:pPr>
        <w:pStyle w:val="box454091"/>
        <w:spacing w:before="0" w:beforeAutospacing="0" w:after="48" w:afterAutospacing="0"/>
        <w:ind w:firstLine="408"/>
        <w:jc w:val="center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II VRSTE LOKALNIH POREZA</w:t>
      </w:r>
    </w:p>
    <w:p w14:paraId="2DE4AA91" w14:textId="77777777" w:rsidR="00EF51EF" w:rsidRPr="009B489B" w:rsidRDefault="00EF51EF" w:rsidP="00EF51EF">
      <w:pPr>
        <w:pStyle w:val="box454091"/>
        <w:spacing w:before="204" w:beforeAutospacing="0" w:after="72" w:afterAutospacing="0"/>
        <w:jc w:val="center"/>
        <w:textAlignment w:val="baseline"/>
        <w:rPr>
          <w:rFonts w:ascii="Arial" w:hAnsi="Arial" w:cs="Arial"/>
          <w:i/>
          <w:iCs/>
          <w:color w:val="231F20"/>
        </w:rPr>
      </w:pPr>
      <w:r w:rsidRPr="009B489B">
        <w:rPr>
          <w:rFonts w:ascii="Arial" w:hAnsi="Arial" w:cs="Arial"/>
          <w:i/>
          <w:iCs/>
          <w:color w:val="231F20"/>
        </w:rPr>
        <w:t>1. Prirez porezu na dohodak</w:t>
      </w:r>
    </w:p>
    <w:p w14:paraId="387058C3" w14:textId="77777777" w:rsidR="00350BDD" w:rsidRPr="009B489B" w:rsidRDefault="00350BDD" w:rsidP="00350BDD">
      <w:pPr>
        <w:pStyle w:val="box454061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  <w:r w:rsidRPr="009B489B">
        <w:rPr>
          <w:rFonts w:ascii="Arial" w:hAnsi="Arial" w:cs="Arial"/>
          <w:color w:val="231F20"/>
        </w:rPr>
        <w:t xml:space="preserve">Članak </w:t>
      </w:r>
      <w:r w:rsidR="00E009E7">
        <w:rPr>
          <w:rFonts w:ascii="Arial" w:hAnsi="Arial" w:cs="Arial"/>
          <w:color w:val="231F20"/>
        </w:rPr>
        <w:t>2</w:t>
      </w:r>
      <w:r w:rsidRPr="009B489B">
        <w:rPr>
          <w:rFonts w:ascii="Arial" w:hAnsi="Arial" w:cs="Arial"/>
          <w:color w:val="231F20"/>
        </w:rPr>
        <w:t>.</w:t>
      </w:r>
    </w:p>
    <w:p w14:paraId="490A13BF" w14:textId="77777777" w:rsidR="009B489B" w:rsidRPr="009B489B" w:rsidRDefault="00350BDD" w:rsidP="00ED149D">
      <w:pPr>
        <w:pStyle w:val="box45406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B489B">
        <w:rPr>
          <w:rFonts w:ascii="Arial" w:hAnsi="Arial" w:cs="Arial"/>
          <w:color w:val="231F20"/>
        </w:rPr>
        <w:t xml:space="preserve">Prirez porezu na dohodak plaćaju obveznici poreza na dohodak </w:t>
      </w:r>
      <w:r w:rsidR="00493A5E">
        <w:rPr>
          <w:rFonts w:ascii="Arial" w:hAnsi="Arial" w:cs="Arial"/>
          <w:color w:val="231F20"/>
        </w:rPr>
        <w:t>koji na području Grada Crikvenice imaju prebivalište ili uobičajeno boravište,</w:t>
      </w:r>
      <w:r w:rsidRPr="009B489B">
        <w:rPr>
          <w:rFonts w:ascii="Arial" w:hAnsi="Arial" w:cs="Arial"/>
          <w:color w:val="231F20"/>
        </w:rPr>
        <w:t xml:space="preserve"> sukladno odredbama Zakona o lokalnim porezima (»Narodne novine«, broj 115/16), Zakona o porezu na dohodak (»Narodne novine«, broj 115/16) i Pravilnika o porezu na dohodak (»Narodne novine«, broj 1/17).</w:t>
      </w:r>
    </w:p>
    <w:p w14:paraId="22A4573D" w14:textId="77777777" w:rsidR="00350BDD" w:rsidRPr="009B489B" w:rsidRDefault="00350BDD" w:rsidP="00350BDD">
      <w:pPr>
        <w:pStyle w:val="box454061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  <w:r w:rsidRPr="009B489B">
        <w:rPr>
          <w:rFonts w:ascii="Arial" w:hAnsi="Arial" w:cs="Arial"/>
          <w:color w:val="231F20"/>
        </w:rPr>
        <w:t xml:space="preserve">Članak </w:t>
      </w:r>
      <w:r w:rsidR="00E009E7">
        <w:rPr>
          <w:rFonts w:ascii="Arial" w:hAnsi="Arial" w:cs="Arial"/>
          <w:color w:val="231F20"/>
        </w:rPr>
        <w:t>3</w:t>
      </w:r>
      <w:r w:rsidRPr="009B489B">
        <w:rPr>
          <w:rFonts w:ascii="Arial" w:hAnsi="Arial" w:cs="Arial"/>
          <w:color w:val="231F20"/>
        </w:rPr>
        <w:t>.</w:t>
      </w:r>
    </w:p>
    <w:p w14:paraId="15B37244" w14:textId="77777777" w:rsidR="00350BDD" w:rsidRPr="009B489B" w:rsidRDefault="00350BDD" w:rsidP="00ED149D">
      <w:pPr>
        <w:pStyle w:val="box45406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B489B">
        <w:rPr>
          <w:rFonts w:ascii="Arial" w:hAnsi="Arial" w:cs="Arial"/>
          <w:color w:val="231F20"/>
        </w:rPr>
        <w:t>Os</w:t>
      </w:r>
      <w:r w:rsidR="00493A5E">
        <w:rPr>
          <w:rFonts w:ascii="Arial" w:hAnsi="Arial" w:cs="Arial"/>
          <w:color w:val="231F20"/>
        </w:rPr>
        <w:t>novica prireza porezu na dohodak čini ukupan iznos obračunatog poreza, sukladno odredbama</w:t>
      </w:r>
      <w:r w:rsidRPr="009B489B">
        <w:rPr>
          <w:rFonts w:ascii="Arial" w:hAnsi="Arial" w:cs="Arial"/>
          <w:color w:val="231F20"/>
        </w:rPr>
        <w:t xml:space="preserve"> Zakon</w:t>
      </w:r>
      <w:r w:rsidR="00493A5E">
        <w:rPr>
          <w:rFonts w:ascii="Arial" w:hAnsi="Arial" w:cs="Arial"/>
          <w:color w:val="231F20"/>
        </w:rPr>
        <w:t>a</w:t>
      </w:r>
      <w:r w:rsidRPr="009B489B">
        <w:rPr>
          <w:rFonts w:ascii="Arial" w:hAnsi="Arial" w:cs="Arial"/>
          <w:color w:val="231F20"/>
        </w:rPr>
        <w:t xml:space="preserve"> o porezu na dohodak i Pravilnik</w:t>
      </w:r>
      <w:r w:rsidR="00493A5E">
        <w:rPr>
          <w:rFonts w:ascii="Arial" w:hAnsi="Arial" w:cs="Arial"/>
          <w:color w:val="231F20"/>
        </w:rPr>
        <w:t>a</w:t>
      </w:r>
      <w:r w:rsidRPr="009B489B">
        <w:rPr>
          <w:rFonts w:ascii="Arial" w:hAnsi="Arial" w:cs="Arial"/>
          <w:color w:val="231F20"/>
        </w:rPr>
        <w:t xml:space="preserve"> o porezu na dohodak.</w:t>
      </w:r>
    </w:p>
    <w:p w14:paraId="20334989" w14:textId="77777777" w:rsidR="0043376E" w:rsidRPr="009B489B" w:rsidRDefault="0043376E" w:rsidP="00EF51EF">
      <w:pPr>
        <w:pStyle w:val="box454091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</w:p>
    <w:p w14:paraId="6A98D466" w14:textId="77777777" w:rsidR="00EF51EF" w:rsidRPr="009B489B" w:rsidRDefault="00EF51EF" w:rsidP="00EF51EF">
      <w:pPr>
        <w:pStyle w:val="box454091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  <w:r w:rsidRPr="009B489B">
        <w:rPr>
          <w:rFonts w:ascii="Arial" w:hAnsi="Arial" w:cs="Arial"/>
          <w:color w:val="231F20"/>
        </w:rPr>
        <w:t xml:space="preserve">Članak </w:t>
      </w:r>
      <w:r w:rsidR="00E009E7">
        <w:rPr>
          <w:rFonts w:ascii="Arial" w:hAnsi="Arial" w:cs="Arial"/>
          <w:color w:val="231F20"/>
        </w:rPr>
        <w:t>4</w:t>
      </w:r>
      <w:r w:rsidRPr="009B489B">
        <w:rPr>
          <w:rFonts w:ascii="Arial" w:hAnsi="Arial" w:cs="Arial"/>
          <w:color w:val="231F20"/>
        </w:rPr>
        <w:t>.</w:t>
      </w:r>
    </w:p>
    <w:p w14:paraId="04193FC6" w14:textId="0D578F30" w:rsidR="00EF51EF" w:rsidRPr="009B489B" w:rsidRDefault="00493A5E" w:rsidP="00ED149D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lastRenderedPageBreak/>
        <w:t>Obveznici poreza na dohodak koji na području Gra</w:t>
      </w:r>
      <w:r w:rsidR="00D860A4">
        <w:rPr>
          <w:rFonts w:ascii="Arial" w:hAnsi="Arial" w:cs="Arial"/>
          <w:color w:val="231F20"/>
        </w:rPr>
        <w:t>d</w:t>
      </w:r>
      <w:r>
        <w:rPr>
          <w:rFonts w:ascii="Arial" w:hAnsi="Arial" w:cs="Arial"/>
          <w:color w:val="231F20"/>
        </w:rPr>
        <w:t xml:space="preserve">a Crikvenice imaju prebivalište ili uobičajeno boravište plaćaju prirez porezu na dohodak po stopi od </w:t>
      </w:r>
      <w:r w:rsidR="00EF51EF" w:rsidRPr="009B489B">
        <w:rPr>
          <w:rFonts w:ascii="Arial" w:hAnsi="Arial" w:cs="Arial"/>
          <w:color w:val="231F20"/>
        </w:rPr>
        <w:t>1</w:t>
      </w:r>
      <w:r w:rsidR="00132AAB" w:rsidRPr="009B489B">
        <w:rPr>
          <w:rFonts w:ascii="Arial" w:hAnsi="Arial" w:cs="Arial"/>
          <w:color w:val="231F20"/>
        </w:rPr>
        <w:t>0</w:t>
      </w:r>
      <w:r w:rsidR="00EF51EF" w:rsidRPr="009B489B">
        <w:rPr>
          <w:rFonts w:ascii="Arial" w:hAnsi="Arial" w:cs="Arial"/>
          <w:color w:val="231F20"/>
        </w:rPr>
        <w:t xml:space="preserve">% na osnovicu </w:t>
      </w:r>
      <w:r w:rsidR="009B489B" w:rsidRPr="009B489B">
        <w:rPr>
          <w:rFonts w:ascii="Arial" w:hAnsi="Arial" w:cs="Arial"/>
          <w:color w:val="231F20"/>
        </w:rPr>
        <w:t xml:space="preserve">iz </w:t>
      </w:r>
      <w:r w:rsidR="00D05963">
        <w:rPr>
          <w:rFonts w:ascii="Arial" w:hAnsi="Arial" w:cs="Arial"/>
          <w:color w:val="231F20"/>
        </w:rPr>
        <w:t>članka 3</w:t>
      </w:r>
      <w:r w:rsidR="009B489B" w:rsidRPr="009B489B">
        <w:rPr>
          <w:rFonts w:ascii="Arial" w:hAnsi="Arial" w:cs="Arial"/>
          <w:color w:val="231F20"/>
        </w:rPr>
        <w:t>. ove Odluke</w:t>
      </w:r>
      <w:r>
        <w:rPr>
          <w:rFonts w:ascii="Arial" w:hAnsi="Arial" w:cs="Arial"/>
          <w:color w:val="231F20"/>
        </w:rPr>
        <w:t>.</w:t>
      </w:r>
    </w:p>
    <w:p w14:paraId="22C4E965" w14:textId="77777777" w:rsidR="00EF51EF" w:rsidRPr="009B489B" w:rsidRDefault="00EF51EF" w:rsidP="00EF51EF">
      <w:pPr>
        <w:pStyle w:val="box454091"/>
        <w:spacing w:before="204" w:beforeAutospacing="0" w:after="72" w:afterAutospacing="0"/>
        <w:jc w:val="center"/>
        <w:textAlignment w:val="baseline"/>
        <w:rPr>
          <w:rFonts w:ascii="Arial" w:hAnsi="Arial" w:cs="Arial"/>
          <w:i/>
          <w:iCs/>
          <w:color w:val="231F20"/>
        </w:rPr>
      </w:pPr>
      <w:r w:rsidRPr="009B489B">
        <w:rPr>
          <w:rFonts w:ascii="Arial" w:hAnsi="Arial" w:cs="Arial"/>
          <w:i/>
          <w:iCs/>
          <w:color w:val="231F20"/>
        </w:rPr>
        <w:t>2. Porez na potrošnju</w:t>
      </w:r>
    </w:p>
    <w:p w14:paraId="773A8129" w14:textId="77777777" w:rsidR="00E11FF2" w:rsidRPr="009B489B" w:rsidRDefault="00E11FF2" w:rsidP="00EF51EF">
      <w:pPr>
        <w:pStyle w:val="box454091"/>
        <w:spacing w:before="204" w:beforeAutospacing="0" w:after="72" w:afterAutospacing="0"/>
        <w:jc w:val="center"/>
        <w:textAlignment w:val="baseline"/>
        <w:rPr>
          <w:rFonts w:ascii="Arial" w:hAnsi="Arial" w:cs="Arial"/>
          <w:i/>
          <w:iCs/>
          <w:color w:val="231F20"/>
        </w:rPr>
      </w:pPr>
      <w:r w:rsidRPr="009B489B">
        <w:rPr>
          <w:rFonts w:ascii="Arial" w:hAnsi="Arial" w:cs="Arial"/>
          <w:i/>
          <w:iCs/>
          <w:color w:val="231F20"/>
        </w:rPr>
        <w:t xml:space="preserve">Članak </w:t>
      </w:r>
      <w:r w:rsidR="00E009E7">
        <w:rPr>
          <w:rFonts w:ascii="Arial" w:hAnsi="Arial" w:cs="Arial"/>
          <w:i/>
          <w:iCs/>
          <w:color w:val="231F20"/>
        </w:rPr>
        <w:t>5</w:t>
      </w:r>
      <w:r w:rsidRPr="009B489B">
        <w:rPr>
          <w:rFonts w:ascii="Arial" w:hAnsi="Arial" w:cs="Arial"/>
          <w:i/>
          <w:iCs/>
          <w:color w:val="231F20"/>
        </w:rPr>
        <w:t xml:space="preserve">. </w:t>
      </w:r>
    </w:p>
    <w:p w14:paraId="1A79E7F3" w14:textId="77777777" w:rsidR="009B489B" w:rsidRDefault="009B489B" w:rsidP="00ED149D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414145"/>
        </w:rPr>
      </w:pPr>
      <w:r w:rsidRPr="009B489B">
        <w:rPr>
          <w:rFonts w:ascii="Arial" w:hAnsi="Arial" w:cs="Arial"/>
          <w:color w:val="414145"/>
        </w:rPr>
        <w:t>Porez za potrošnju plaća se na potrošnju alkoholnih pića (vinjak, rakiju i žestoka pića), prirodnih vina, specijalnih vina, piva i bezalkoholnih pića u ugostiteljskim objektima, a k</w:t>
      </w:r>
      <w:r w:rsidR="00CB1FE5">
        <w:rPr>
          <w:rFonts w:ascii="Arial" w:hAnsi="Arial" w:cs="Arial"/>
          <w:color w:val="414145"/>
        </w:rPr>
        <w:t xml:space="preserve">oji se nalaze na području Grada, sukladno </w:t>
      </w:r>
      <w:r w:rsidR="00D57CB5">
        <w:rPr>
          <w:rFonts w:ascii="Arial" w:hAnsi="Arial" w:cs="Arial"/>
          <w:color w:val="414145"/>
        </w:rPr>
        <w:t xml:space="preserve">članku 22. </w:t>
      </w:r>
      <w:r w:rsidR="00CB1FE5">
        <w:rPr>
          <w:rFonts w:ascii="Arial" w:hAnsi="Arial" w:cs="Arial"/>
          <w:color w:val="414145"/>
        </w:rPr>
        <w:t>Zakon</w:t>
      </w:r>
      <w:r w:rsidR="00D57CB5">
        <w:rPr>
          <w:rFonts w:ascii="Arial" w:hAnsi="Arial" w:cs="Arial"/>
          <w:color w:val="414145"/>
        </w:rPr>
        <w:t>a</w:t>
      </w:r>
      <w:r w:rsidR="00CB1FE5">
        <w:rPr>
          <w:rFonts w:ascii="Arial" w:hAnsi="Arial" w:cs="Arial"/>
          <w:color w:val="414145"/>
        </w:rPr>
        <w:t xml:space="preserve"> o lokalnim porezima.</w:t>
      </w:r>
    </w:p>
    <w:p w14:paraId="51C4180A" w14:textId="77777777" w:rsidR="00035313" w:rsidRPr="009B489B" w:rsidRDefault="00035313" w:rsidP="00ED149D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414145"/>
        </w:rPr>
      </w:pPr>
    </w:p>
    <w:p w14:paraId="6ADB0B66" w14:textId="77777777" w:rsidR="00D57CB5" w:rsidRDefault="009B489B" w:rsidP="00D57CB5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414145"/>
        </w:rPr>
      </w:pPr>
      <w:r w:rsidRPr="009B489B">
        <w:rPr>
          <w:rFonts w:ascii="Arial" w:hAnsi="Arial" w:cs="Arial"/>
          <w:color w:val="231F20"/>
        </w:rPr>
        <w:t>Obveznici poreza na potrošnju su fizičke i pravne osobe koje pružaju ugostit</w:t>
      </w:r>
      <w:r w:rsidR="00D57CB5">
        <w:rPr>
          <w:rFonts w:ascii="Arial" w:hAnsi="Arial" w:cs="Arial"/>
          <w:color w:val="231F20"/>
        </w:rPr>
        <w:t xml:space="preserve">eljske usluge na području Grada,  </w:t>
      </w:r>
      <w:r w:rsidR="00D57CB5">
        <w:rPr>
          <w:rFonts w:ascii="Arial" w:hAnsi="Arial" w:cs="Arial"/>
          <w:color w:val="414145"/>
        </w:rPr>
        <w:t>sukladno stavku 1. članka 23. Zakona o lokalnim porezima.</w:t>
      </w:r>
    </w:p>
    <w:p w14:paraId="70514B1A" w14:textId="77777777" w:rsidR="009B489B" w:rsidRPr="009B489B" w:rsidRDefault="009B489B" w:rsidP="00ED149D">
      <w:pPr>
        <w:spacing w:after="48" w:line="240" w:lineRule="auto"/>
        <w:ind w:firstLine="408"/>
        <w:jc w:val="both"/>
        <w:textAlignment w:val="baseline"/>
        <w:rPr>
          <w:rFonts w:ascii="Arial" w:hAnsi="Arial" w:cs="Arial"/>
          <w:color w:val="414145"/>
          <w:sz w:val="24"/>
          <w:szCs w:val="24"/>
        </w:rPr>
      </w:pPr>
    </w:p>
    <w:p w14:paraId="79BB18CE" w14:textId="77777777" w:rsidR="009B489B" w:rsidRDefault="009B489B" w:rsidP="00ED149D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414145"/>
        </w:rPr>
      </w:pPr>
      <w:r w:rsidRPr="009B489B">
        <w:rPr>
          <w:rFonts w:ascii="Arial" w:hAnsi="Arial" w:cs="Arial"/>
          <w:color w:val="414145"/>
        </w:rPr>
        <w:t>Osnovic</w:t>
      </w:r>
      <w:r w:rsidR="00D57CB5">
        <w:rPr>
          <w:rFonts w:ascii="Arial" w:hAnsi="Arial" w:cs="Arial"/>
          <w:color w:val="414145"/>
        </w:rPr>
        <w:t xml:space="preserve">u </w:t>
      </w:r>
      <w:r w:rsidRPr="009B489B">
        <w:rPr>
          <w:rFonts w:ascii="Arial" w:hAnsi="Arial" w:cs="Arial"/>
          <w:color w:val="414145"/>
        </w:rPr>
        <w:t xml:space="preserve"> </w:t>
      </w:r>
      <w:r w:rsidR="00493A5E">
        <w:rPr>
          <w:rFonts w:ascii="Arial" w:hAnsi="Arial" w:cs="Arial"/>
          <w:color w:val="414145"/>
        </w:rPr>
        <w:t xml:space="preserve">za obračun </w:t>
      </w:r>
      <w:r w:rsidRPr="009B489B">
        <w:rPr>
          <w:rFonts w:ascii="Arial" w:hAnsi="Arial" w:cs="Arial"/>
          <w:color w:val="414145"/>
        </w:rPr>
        <w:t>porez</w:t>
      </w:r>
      <w:r w:rsidR="00D57CB5">
        <w:rPr>
          <w:rFonts w:ascii="Arial" w:hAnsi="Arial" w:cs="Arial"/>
          <w:color w:val="414145"/>
        </w:rPr>
        <w:t>a</w:t>
      </w:r>
      <w:r w:rsidRPr="009B489B">
        <w:rPr>
          <w:rFonts w:ascii="Arial" w:hAnsi="Arial" w:cs="Arial"/>
          <w:color w:val="414145"/>
        </w:rPr>
        <w:t xml:space="preserve"> na potrošnju </w:t>
      </w:r>
      <w:r w:rsidR="00D57CB5">
        <w:rPr>
          <w:rFonts w:ascii="Arial" w:hAnsi="Arial" w:cs="Arial"/>
          <w:color w:val="414145"/>
        </w:rPr>
        <w:t>čini prodajna cijena pića koja se proda u ugostiteljskim objektima na području Grada Crikvenice, a u koju nije uključen poreza na dodanu vrijednost, sukladno stavku 2. članka 23. Zakona o lokalnim porezima.</w:t>
      </w:r>
    </w:p>
    <w:p w14:paraId="19B39A7D" w14:textId="77777777" w:rsidR="00D57CB5" w:rsidRPr="009B489B" w:rsidRDefault="00D57CB5" w:rsidP="00ED149D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</w:p>
    <w:p w14:paraId="1A3A666F" w14:textId="390CB67A" w:rsidR="00407EB3" w:rsidRDefault="00EF51EF" w:rsidP="00ED149D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B489B">
        <w:rPr>
          <w:rFonts w:ascii="Arial" w:hAnsi="Arial" w:cs="Arial"/>
          <w:color w:val="231F20"/>
        </w:rPr>
        <w:t xml:space="preserve">Porez na potrošnju plaća se po stopi od </w:t>
      </w:r>
      <w:r w:rsidR="00132AAB" w:rsidRPr="009B489B">
        <w:rPr>
          <w:rFonts w:ascii="Arial" w:hAnsi="Arial" w:cs="Arial"/>
          <w:color w:val="231F20"/>
        </w:rPr>
        <w:t>3</w:t>
      </w:r>
      <w:r w:rsidRPr="009B489B">
        <w:rPr>
          <w:rFonts w:ascii="Arial" w:hAnsi="Arial" w:cs="Arial"/>
          <w:color w:val="231F20"/>
        </w:rPr>
        <w:t>% na osnovicu</w:t>
      </w:r>
      <w:r w:rsidR="00E11FF2" w:rsidRPr="009B489B">
        <w:rPr>
          <w:rFonts w:ascii="Arial" w:hAnsi="Arial" w:cs="Arial"/>
          <w:color w:val="231F20"/>
        </w:rPr>
        <w:t xml:space="preserve"> </w:t>
      </w:r>
      <w:r w:rsidR="009B489B" w:rsidRPr="009B489B">
        <w:rPr>
          <w:rFonts w:ascii="Arial" w:hAnsi="Arial" w:cs="Arial"/>
          <w:color w:val="231F20"/>
        </w:rPr>
        <w:t xml:space="preserve">iz stavka </w:t>
      </w:r>
      <w:r w:rsidR="0006622A">
        <w:rPr>
          <w:rFonts w:ascii="Arial" w:hAnsi="Arial" w:cs="Arial"/>
          <w:color w:val="231F20"/>
        </w:rPr>
        <w:t>3</w:t>
      </w:r>
      <w:r w:rsidR="009B489B" w:rsidRPr="009B489B">
        <w:rPr>
          <w:rFonts w:ascii="Arial" w:hAnsi="Arial" w:cs="Arial"/>
          <w:color w:val="231F20"/>
        </w:rPr>
        <w:t>. ovog članka.</w:t>
      </w:r>
    </w:p>
    <w:p w14:paraId="03A8296A" w14:textId="77777777" w:rsidR="00407EB3" w:rsidRPr="009B489B" w:rsidRDefault="00407EB3" w:rsidP="00EF51EF">
      <w:pPr>
        <w:pStyle w:val="box454091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FF0000"/>
        </w:rPr>
      </w:pPr>
    </w:p>
    <w:p w14:paraId="6549882B" w14:textId="77777777" w:rsidR="00EF51EF" w:rsidRPr="00A32679" w:rsidRDefault="00EF51EF" w:rsidP="00EF51EF">
      <w:pPr>
        <w:pStyle w:val="box454091"/>
        <w:spacing w:before="204" w:beforeAutospacing="0" w:after="72" w:afterAutospacing="0"/>
        <w:jc w:val="center"/>
        <w:textAlignment w:val="baseline"/>
        <w:rPr>
          <w:rFonts w:ascii="Arial" w:hAnsi="Arial" w:cs="Arial"/>
          <w:i/>
          <w:iCs/>
          <w:color w:val="000000" w:themeColor="text1"/>
        </w:rPr>
      </w:pPr>
      <w:r w:rsidRPr="00A32679">
        <w:rPr>
          <w:rFonts w:ascii="Arial" w:hAnsi="Arial" w:cs="Arial"/>
          <w:i/>
          <w:iCs/>
          <w:color w:val="000000" w:themeColor="text1"/>
        </w:rPr>
        <w:t>3. Porez na kuće za odmor</w:t>
      </w:r>
    </w:p>
    <w:p w14:paraId="50F9D075" w14:textId="329FA519" w:rsidR="00EF51EF" w:rsidRPr="00A32679" w:rsidRDefault="00EF51EF" w:rsidP="00EF51EF">
      <w:pPr>
        <w:pStyle w:val="box454091"/>
        <w:spacing w:before="34" w:beforeAutospacing="0" w:after="48" w:afterAutospacing="0"/>
        <w:jc w:val="center"/>
        <w:textAlignment w:val="baseline"/>
        <w:rPr>
          <w:rFonts w:ascii="Arial" w:hAnsi="Arial" w:cs="Arial"/>
          <w:color w:val="000000" w:themeColor="text1"/>
        </w:rPr>
      </w:pPr>
      <w:r w:rsidRPr="00A32679">
        <w:rPr>
          <w:rFonts w:ascii="Arial" w:hAnsi="Arial" w:cs="Arial"/>
          <w:color w:val="000000" w:themeColor="text1"/>
        </w:rPr>
        <w:t xml:space="preserve">Članak </w:t>
      </w:r>
      <w:r w:rsidR="00752D90">
        <w:rPr>
          <w:rFonts w:ascii="Arial" w:hAnsi="Arial" w:cs="Arial"/>
          <w:color w:val="000000" w:themeColor="text1"/>
        </w:rPr>
        <w:t>6</w:t>
      </w:r>
      <w:r w:rsidRPr="00A32679">
        <w:rPr>
          <w:rFonts w:ascii="Arial" w:hAnsi="Arial" w:cs="Arial"/>
          <w:color w:val="000000" w:themeColor="text1"/>
        </w:rPr>
        <w:t>.</w:t>
      </w:r>
    </w:p>
    <w:p w14:paraId="1ABEF57E" w14:textId="77777777" w:rsidR="00035313" w:rsidRPr="00A32679" w:rsidRDefault="00035313" w:rsidP="00035313">
      <w:pPr>
        <w:pStyle w:val="box454091"/>
        <w:spacing w:before="103" w:beforeAutospacing="0" w:after="48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  <w:r w:rsidRPr="00A32679">
        <w:rPr>
          <w:rFonts w:ascii="Arial" w:hAnsi="Arial" w:cs="Arial"/>
          <w:color w:val="000000" w:themeColor="text1"/>
          <w:lang w:val="en-US"/>
        </w:rPr>
        <w:t xml:space="preserve">Kućom za odmor smatra se svaka zgrada ili dio zgrade ili stan koji se koriste povremeno ili sezonski. </w:t>
      </w:r>
    </w:p>
    <w:p w14:paraId="2ADCA636" w14:textId="77777777" w:rsidR="00035313" w:rsidRPr="00A32679" w:rsidRDefault="00035313" w:rsidP="00035313">
      <w:pPr>
        <w:pStyle w:val="box454091"/>
        <w:spacing w:before="103" w:beforeAutospacing="0" w:after="48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  <w:r w:rsidRPr="00A32679">
        <w:rPr>
          <w:rFonts w:ascii="Arial" w:hAnsi="Arial" w:cs="Arial"/>
          <w:color w:val="000000" w:themeColor="text1"/>
          <w:lang w:val="en-US"/>
        </w:rPr>
        <w:t xml:space="preserve">Kućom za odmor ne smatraju se gospodarstvene zgrade koje služe za smještaj poljoprivrednih strojeva, oruđa i drugog pribora. </w:t>
      </w:r>
    </w:p>
    <w:p w14:paraId="6DE12B5F" w14:textId="77777777" w:rsidR="0000552E" w:rsidRPr="00A32679" w:rsidRDefault="0000552E" w:rsidP="00035313">
      <w:pPr>
        <w:pStyle w:val="box454091"/>
        <w:spacing w:before="103" w:beforeAutospacing="0" w:after="48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en-US"/>
        </w:rPr>
      </w:pPr>
    </w:p>
    <w:p w14:paraId="7249DFD5" w14:textId="1BD1ACDA" w:rsidR="00035313" w:rsidRPr="00A32679" w:rsidRDefault="00035313" w:rsidP="00EF51EF">
      <w:pPr>
        <w:pStyle w:val="box454091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000000" w:themeColor="text1"/>
          <w:lang w:val="en-US"/>
        </w:rPr>
      </w:pPr>
      <w:r w:rsidRPr="00A32679">
        <w:rPr>
          <w:rFonts w:ascii="Arial" w:hAnsi="Arial" w:cs="Arial"/>
          <w:color w:val="000000" w:themeColor="text1"/>
          <w:lang w:val="en-US"/>
        </w:rPr>
        <w:t xml:space="preserve">Članak </w:t>
      </w:r>
      <w:r w:rsidR="00752D90">
        <w:rPr>
          <w:rFonts w:ascii="Arial" w:hAnsi="Arial" w:cs="Arial"/>
          <w:color w:val="000000" w:themeColor="text1"/>
          <w:lang w:val="en-US"/>
        </w:rPr>
        <w:t>7</w:t>
      </w:r>
      <w:r w:rsidRPr="00A32679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0C2F3033" w14:textId="6BF179C5" w:rsidR="00A32679" w:rsidRPr="0000552E" w:rsidRDefault="00035313" w:rsidP="00035313">
      <w:pPr>
        <w:pStyle w:val="box454091"/>
        <w:spacing w:before="103" w:beforeAutospacing="0" w:after="48" w:afterAutospacing="0"/>
        <w:ind w:firstLine="720"/>
        <w:jc w:val="both"/>
        <w:textAlignment w:val="baseline"/>
        <w:rPr>
          <w:rFonts w:ascii="Arial" w:hAnsi="Arial" w:cs="Arial"/>
          <w:color w:val="FF0000"/>
        </w:rPr>
      </w:pPr>
      <w:r w:rsidRPr="00A32679">
        <w:rPr>
          <w:rFonts w:ascii="Arial" w:hAnsi="Arial" w:cs="Arial"/>
          <w:color w:val="000000" w:themeColor="text1"/>
        </w:rPr>
        <w:t xml:space="preserve">Porez na kuće za odmor plaćaju pravne i fizičke osobe koje su vlasnici kuća za odmor na području Grada Crikvenice u visini od 15,00 kuna po jednom četvornom metru korisne površine kuće za odmor. </w:t>
      </w:r>
    </w:p>
    <w:p w14:paraId="4AB7AA5C" w14:textId="2FDE16E3" w:rsidR="00EF51EF" w:rsidRPr="009B489B" w:rsidRDefault="00EF51EF" w:rsidP="00EF51EF">
      <w:pPr>
        <w:pStyle w:val="box454091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  <w:r w:rsidRPr="009B489B">
        <w:rPr>
          <w:rFonts w:ascii="Arial" w:hAnsi="Arial" w:cs="Arial"/>
          <w:color w:val="231F20"/>
        </w:rPr>
        <w:t xml:space="preserve">Članak </w:t>
      </w:r>
      <w:r w:rsidR="00752D90">
        <w:rPr>
          <w:rFonts w:ascii="Arial" w:hAnsi="Arial" w:cs="Arial"/>
          <w:color w:val="231F20"/>
        </w:rPr>
        <w:t>8</w:t>
      </w:r>
      <w:r w:rsidRPr="009B489B">
        <w:rPr>
          <w:rFonts w:ascii="Arial" w:hAnsi="Arial" w:cs="Arial"/>
          <w:color w:val="231F20"/>
        </w:rPr>
        <w:t>.</w:t>
      </w:r>
    </w:p>
    <w:p w14:paraId="030F6CFC" w14:textId="730A4477" w:rsidR="00035313" w:rsidRPr="00752D90" w:rsidRDefault="00035313" w:rsidP="00035313">
      <w:pPr>
        <w:pStyle w:val="box454091"/>
        <w:spacing w:before="103" w:beforeAutospacing="0" w:after="48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</w:rPr>
      </w:pPr>
      <w:r w:rsidRPr="00752D90">
        <w:rPr>
          <w:rFonts w:ascii="Arial" w:hAnsi="Arial" w:cs="Arial"/>
          <w:color w:val="000000" w:themeColor="text1"/>
        </w:rPr>
        <w:t xml:space="preserve">U postupku dokazivanja statusa kuće za odmor u smislu članka </w:t>
      </w:r>
      <w:r w:rsidR="00752D90" w:rsidRPr="00752D90">
        <w:rPr>
          <w:rFonts w:ascii="Arial" w:hAnsi="Arial" w:cs="Arial"/>
          <w:color w:val="000000" w:themeColor="text1"/>
        </w:rPr>
        <w:t xml:space="preserve">6. </w:t>
      </w:r>
      <w:r w:rsidRPr="00752D90">
        <w:rPr>
          <w:rFonts w:ascii="Arial" w:hAnsi="Arial" w:cs="Arial"/>
          <w:color w:val="000000" w:themeColor="text1"/>
        </w:rPr>
        <w:t xml:space="preserve"> ove Odluke, vlasnik kuće za odmor dužan je pored osobne iskaznice predočiti naročito sljedeće dokaze: putovnicu, mjesto i visinu utroška električne energije, vode, telefona, pretplate na TV i radio prijemnike, mjesto podnošenja porezne prijave, ugovor o najmu, rješenje o kategorizaciji objekta za iznajmljivanje, porezno rješenje o utvrđivanju poreza od iznajmljivanja i najma, potvrdu o zasnovanom radnom odnosu, izjavu o izabranom liječniku kao i druge dokaze podobne za ocjenu i utvrđivanje vremena korištenja kuće ili stana u smislu članka </w:t>
      </w:r>
      <w:r w:rsidR="00A32679" w:rsidRPr="00752D90">
        <w:rPr>
          <w:rFonts w:ascii="Arial" w:hAnsi="Arial" w:cs="Arial"/>
          <w:color w:val="000000" w:themeColor="text1"/>
        </w:rPr>
        <w:t xml:space="preserve"> </w:t>
      </w:r>
      <w:r w:rsidR="00752D90">
        <w:rPr>
          <w:rFonts w:ascii="Arial" w:hAnsi="Arial" w:cs="Arial"/>
          <w:color w:val="000000" w:themeColor="text1"/>
        </w:rPr>
        <w:t xml:space="preserve">6. i </w:t>
      </w:r>
      <w:r w:rsidR="00A32679" w:rsidRPr="00752D90">
        <w:rPr>
          <w:rFonts w:ascii="Arial" w:hAnsi="Arial" w:cs="Arial"/>
          <w:color w:val="000000" w:themeColor="text1"/>
        </w:rPr>
        <w:t xml:space="preserve">7. </w:t>
      </w:r>
      <w:r w:rsidRPr="00752D90">
        <w:rPr>
          <w:rFonts w:ascii="Arial" w:hAnsi="Arial" w:cs="Arial"/>
          <w:color w:val="000000" w:themeColor="text1"/>
        </w:rPr>
        <w:t>ove Odluke</w:t>
      </w:r>
    </w:p>
    <w:p w14:paraId="337523AE" w14:textId="2FE68614" w:rsidR="00752D90" w:rsidRDefault="00752D90" w:rsidP="00035313">
      <w:pPr>
        <w:pStyle w:val="box454091"/>
        <w:spacing w:before="103" w:beforeAutospacing="0" w:after="48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39B28C20" w14:textId="11B67FD2" w:rsidR="00752D90" w:rsidRDefault="00752D90" w:rsidP="00035313">
      <w:pPr>
        <w:pStyle w:val="box454091"/>
        <w:spacing w:before="103" w:beforeAutospacing="0" w:after="48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215246C0" w14:textId="6C70F4B6" w:rsidR="00752D90" w:rsidRDefault="00752D90" w:rsidP="00035313">
      <w:pPr>
        <w:pStyle w:val="box454091"/>
        <w:spacing w:before="103" w:beforeAutospacing="0" w:after="48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4468D677" w14:textId="77777777" w:rsidR="00752D90" w:rsidRPr="00A32679" w:rsidRDefault="00752D90" w:rsidP="00035313">
      <w:pPr>
        <w:pStyle w:val="box454091"/>
        <w:spacing w:before="103" w:beforeAutospacing="0" w:after="48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7A6B4D6B" w14:textId="24496749" w:rsidR="0087616D" w:rsidRPr="00752D90" w:rsidRDefault="0087616D" w:rsidP="00A32679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000000" w:themeColor="text1"/>
        </w:rPr>
      </w:pPr>
      <w:r w:rsidRPr="00752D90">
        <w:rPr>
          <w:rFonts w:ascii="Arial" w:hAnsi="Arial" w:cs="Arial"/>
          <w:color w:val="000000" w:themeColor="text1"/>
        </w:rPr>
        <w:t>III. PRIJENOS OVLASTI I NADLEŽNA POREZNA TIJELA</w:t>
      </w:r>
    </w:p>
    <w:p w14:paraId="2F0C18F6" w14:textId="3088B16B" w:rsidR="0087616D" w:rsidRPr="00752D90" w:rsidRDefault="0087616D" w:rsidP="00A32679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1C2AC9B4" w14:textId="38207C64" w:rsidR="0087616D" w:rsidRDefault="0087616D" w:rsidP="00A32679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000000" w:themeColor="text1"/>
        </w:rPr>
      </w:pPr>
      <w:r w:rsidRPr="00752D90">
        <w:rPr>
          <w:rFonts w:ascii="Arial" w:hAnsi="Arial" w:cs="Arial"/>
          <w:color w:val="000000" w:themeColor="text1"/>
        </w:rPr>
        <w:tab/>
      </w:r>
      <w:r w:rsidRPr="00752D90">
        <w:rPr>
          <w:rFonts w:ascii="Arial" w:hAnsi="Arial" w:cs="Arial"/>
          <w:color w:val="000000" w:themeColor="text1"/>
        </w:rPr>
        <w:tab/>
      </w:r>
      <w:r w:rsidRPr="00752D90">
        <w:rPr>
          <w:rFonts w:ascii="Arial" w:hAnsi="Arial" w:cs="Arial"/>
          <w:color w:val="000000" w:themeColor="text1"/>
        </w:rPr>
        <w:tab/>
      </w:r>
      <w:r w:rsidRPr="00752D90">
        <w:rPr>
          <w:rFonts w:ascii="Arial" w:hAnsi="Arial" w:cs="Arial"/>
          <w:color w:val="000000" w:themeColor="text1"/>
        </w:rPr>
        <w:tab/>
      </w:r>
      <w:r w:rsidRPr="00752D90">
        <w:rPr>
          <w:rFonts w:ascii="Arial" w:hAnsi="Arial" w:cs="Arial"/>
          <w:color w:val="000000" w:themeColor="text1"/>
        </w:rPr>
        <w:tab/>
        <w:t>Članak</w:t>
      </w:r>
      <w:r w:rsidR="00752D90" w:rsidRPr="00752D90">
        <w:rPr>
          <w:rFonts w:ascii="Arial" w:hAnsi="Arial" w:cs="Arial"/>
          <w:color w:val="000000" w:themeColor="text1"/>
        </w:rPr>
        <w:t xml:space="preserve"> </w:t>
      </w:r>
      <w:r w:rsidR="00D860A4">
        <w:rPr>
          <w:rFonts w:ascii="Arial" w:hAnsi="Arial" w:cs="Arial"/>
          <w:color w:val="000000" w:themeColor="text1"/>
        </w:rPr>
        <w:t>9</w:t>
      </w:r>
      <w:r w:rsidR="00752D90" w:rsidRPr="00752D90">
        <w:rPr>
          <w:rFonts w:ascii="Arial" w:hAnsi="Arial" w:cs="Arial"/>
          <w:color w:val="000000" w:themeColor="text1"/>
        </w:rPr>
        <w:t>.</w:t>
      </w:r>
    </w:p>
    <w:p w14:paraId="6C3B20FC" w14:textId="77777777" w:rsidR="00752D90" w:rsidRPr="00752D90" w:rsidRDefault="00752D90" w:rsidP="00A32679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7510E8F1" w14:textId="44B08654" w:rsidR="0087616D" w:rsidRPr="00752D90" w:rsidRDefault="0087616D" w:rsidP="0087616D">
      <w:pPr>
        <w:pStyle w:val="box454295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000000" w:themeColor="text1"/>
        </w:rPr>
      </w:pPr>
      <w:r w:rsidRPr="00752D90">
        <w:rPr>
          <w:rFonts w:ascii="Arial" w:hAnsi="Arial" w:cs="Arial"/>
          <w:color w:val="000000" w:themeColor="text1"/>
        </w:rPr>
        <w:t>Poslove utvrđivanja, evidentiranja, nadzora, naplate i prisilne naplate prireza porezu na dohodak, poreza na potrošnju i poreza na kuće za odmor, povjeravaju se  Ministarstvu financija,  Poreznoj upravi.</w:t>
      </w:r>
    </w:p>
    <w:p w14:paraId="24C56E39" w14:textId="77777777" w:rsidR="0087616D" w:rsidRPr="00752D90" w:rsidRDefault="0087616D" w:rsidP="0087616D">
      <w:pPr>
        <w:pStyle w:val="box454295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000000" w:themeColor="text1"/>
        </w:rPr>
      </w:pPr>
      <w:r w:rsidRPr="00752D90">
        <w:rPr>
          <w:rFonts w:ascii="Arial" w:hAnsi="Arial" w:cs="Arial"/>
          <w:color w:val="000000" w:themeColor="text1"/>
        </w:rPr>
        <w:t xml:space="preserve">Stvarno i mjesno nadležna ustrojstvena jedinica Porezne uprave Ministarstva  financija je nadležno porezno tijelo iz stavka 1. ovog članka. </w:t>
      </w:r>
    </w:p>
    <w:p w14:paraId="4522402C" w14:textId="77777777" w:rsidR="0087616D" w:rsidRPr="00752D90" w:rsidRDefault="0087616D" w:rsidP="0087616D">
      <w:pPr>
        <w:pStyle w:val="box454295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000000" w:themeColor="text1"/>
        </w:rPr>
      </w:pPr>
      <w:r w:rsidRPr="00752D90">
        <w:rPr>
          <w:rFonts w:ascii="Arial" w:hAnsi="Arial" w:cs="Arial"/>
          <w:color w:val="000000" w:themeColor="text1"/>
        </w:rPr>
        <w:t>Poreznoj upravi za poslove pripada naknada od 5% od ukupno naplaćenih prihoda. Ovlašćuje se nadležna organizacija platnog prometa zadužena za naplatu javnih prihoda (FINA) da naknadu Poreznoj upravi obračuna i uplati u Državni proračun do zadnjeg dana u mjesecu za prethodni mjesec.</w:t>
      </w:r>
    </w:p>
    <w:p w14:paraId="477F5FEA" w14:textId="7C8F659A" w:rsidR="0087616D" w:rsidRPr="0087616D" w:rsidRDefault="0087616D" w:rsidP="00A32679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FF0000"/>
        </w:rPr>
      </w:pPr>
    </w:p>
    <w:p w14:paraId="2439BDBB" w14:textId="77777777" w:rsidR="0087616D" w:rsidRDefault="0087616D" w:rsidP="00A32679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</w:p>
    <w:p w14:paraId="6F135888" w14:textId="420FB6FE" w:rsidR="00BE7F4A" w:rsidRDefault="00EF51EF" w:rsidP="00752D90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B489B">
        <w:rPr>
          <w:rFonts w:ascii="Arial" w:hAnsi="Arial" w:cs="Arial"/>
          <w:color w:val="231F20"/>
        </w:rPr>
        <w:t>I</w:t>
      </w:r>
      <w:r w:rsidR="0087616D">
        <w:rPr>
          <w:rFonts w:ascii="Arial" w:hAnsi="Arial" w:cs="Arial"/>
          <w:color w:val="231F20"/>
        </w:rPr>
        <w:t>V</w:t>
      </w:r>
      <w:r w:rsidRPr="009B489B">
        <w:rPr>
          <w:rFonts w:ascii="Arial" w:hAnsi="Arial" w:cs="Arial"/>
          <w:color w:val="231F20"/>
        </w:rPr>
        <w:t xml:space="preserve">. </w:t>
      </w:r>
      <w:r w:rsidR="00BE7F4A">
        <w:rPr>
          <w:rFonts w:ascii="Arial" w:hAnsi="Arial" w:cs="Arial"/>
          <w:color w:val="231F20"/>
        </w:rPr>
        <w:t>PRIJELAZNE I ZAVRŠNE ODREDBE</w:t>
      </w:r>
    </w:p>
    <w:p w14:paraId="6FEBFCCC" w14:textId="77777777" w:rsidR="00752D90" w:rsidRPr="009B489B" w:rsidRDefault="00752D90" w:rsidP="00752D90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</w:p>
    <w:p w14:paraId="4C747246" w14:textId="39756BCE" w:rsidR="00EF51EF" w:rsidRDefault="00EF51EF" w:rsidP="00EF51EF">
      <w:pPr>
        <w:pStyle w:val="box454091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  <w:r w:rsidRPr="00F83B06">
        <w:rPr>
          <w:rFonts w:ascii="Arial" w:hAnsi="Arial" w:cs="Arial"/>
          <w:color w:val="231F20"/>
        </w:rPr>
        <w:t>Članak 1</w:t>
      </w:r>
      <w:r w:rsidR="00D860A4">
        <w:rPr>
          <w:rFonts w:ascii="Arial" w:hAnsi="Arial" w:cs="Arial"/>
          <w:color w:val="231F20"/>
        </w:rPr>
        <w:t>0</w:t>
      </w:r>
      <w:r w:rsidRPr="00F83B06">
        <w:rPr>
          <w:rFonts w:ascii="Arial" w:hAnsi="Arial" w:cs="Arial"/>
          <w:color w:val="231F20"/>
        </w:rPr>
        <w:t>.</w:t>
      </w:r>
    </w:p>
    <w:p w14:paraId="301333E7" w14:textId="6BBAF71D" w:rsidR="009A1DF1" w:rsidRDefault="009A1DF1" w:rsidP="00EF51EF">
      <w:pPr>
        <w:pStyle w:val="box454091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</w:p>
    <w:p w14:paraId="7EA6F756" w14:textId="4959D0C8" w:rsidR="009A1DF1" w:rsidRPr="00F83B06" w:rsidRDefault="009A1DF1" w:rsidP="009A1DF1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9A351C">
        <w:rPr>
          <w:rFonts w:ascii="Arial" w:hAnsi="Arial" w:cs="Arial"/>
        </w:rPr>
        <w:t>Danom stupanja na snagu ove Odluke prestaje važiti Odluka o porezima Grada Crikvenice  (Narodne novine« broj 2/03, 57/07, 147/10.),  (Službene novine Primorsko-goranske županije« broj  19/07. i 50/10.)</w:t>
      </w:r>
      <w:r>
        <w:rPr>
          <w:rFonts w:ascii="Arial" w:hAnsi="Arial" w:cs="Arial"/>
        </w:rPr>
        <w:t>.</w:t>
      </w:r>
    </w:p>
    <w:p w14:paraId="0B3EDF3B" w14:textId="298B0AD3" w:rsidR="00752D90" w:rsidRDefault="00FE5F5C" w:rsidP="00ED149D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231F20"/>
        </w:rPr>
        <w:t>Svi p</w:t>
      </w:r>
      <w:r w:rsidR="00EF51EF" w:rsidRPr="00F83B06">
        <w:rPr>
          <w:rFonts w:ascii="Arial" w:hAnsi="Arial" w:cs="Arial"/>
          <w:color w:val="231F20"/>
        </w:rPr>
        <w:t>ostupci u svezi s utvrđivanjem i naplat</w:t>
      </w:r>
      <w:r>
        <w:rPr>
          <w:rFonts w:ascii="Arial" w:hAnsi="Arial" w:cs="Arial"/>
          <w:color w:val="231F20"/>
        </w:rPr>
        <w:t>e gradskih poreza z</w:t>
      </w:r>
      <w:r w:rsidR="00EF51EF" w:rsidRPr="00F83B06">
        <w:rPr>
          <w:rFonts w:ascii="Arial" w:hAnsi="Arial" w:cs="Arial"/>
          <w:color w:val="231F20"/>
        </w:rPr>
        <w:t xml:space="preserve">apočeti do dana stupanja na snagu ove Odluke, dovršit će se prema odredbama </w:t>
      </w:r>
      <w:r w:rsidR="006C2AA1" w:rsidRPr="00F83B06">
        <w:rPr>
          <w:rFonts w:ascii="Arial" w:hAnsi="Arial" w:cs="Arial"/>
          <w:color w:val="231F20"/>
        </w:rPr>
        <w:t>Odluka o porezima Grada Crikvenice  (Narodne novine« broj 2/03, 57/07, 147/10.),  (Službene novine Primorsko-goranske županije« broj</w:t>
      </w:r>
      <w:r w:rsidR="00593DCD" w:rsidRPr="00F83B06">
        <w:rPr>
          <w:rFonts w:ascii="Arial" w:hAnsi="Arial" w:cs="Arial"/>
          <w:color w:val="FF0000"/>
        </w:rPr>
        <w:t xml:space="preserve"> </w:t>
      </w:r>
      <w:r w:rsidR="00593DCD" w:rsidRPr="00F83B06">
        <w:rPr>
          <w:rFonts w:ascii="Arial" w:hAnsi="Arial" w:cs="Arial"/>
          <w:color w:val="000000" w:themeColor="text1"/>
        </w:rPr>
        <w:t>19/07. i 50/10.)</w:t>
      </w:r>
      <w:r w:rsidR="00D860A4">
        <w:rPr>
          <w:rFonts w:ascii="Arial" w:hAnsi="Arial" w:cs="Arial"/>
          <w:color w:val="000000" w:themeColor="text1"/>
        </w:rPr>
        <w:t>.</w:t>
      </w:r>
    </w:p>
    <w:p w14:paraId="46D1FA8C" w14:textId="77777777" w:rsidR="00752D90" w:rsidRDefault="00752D90" w:rsidP="00ED149D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2BA781DE" w14:textId="542DD8F2" w:rsidR="005D2A68" w:rsidRDefault="005D2A68" w:rsidP="00ED149D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51080BBA" w14:textId="62BA04C3" w:rsidR="00A32679" w:rsidRPr="00F83B06" w:rsidRDefault="00EF51EF" w:rsidP="00EF51EF">
      <w:pPr>
        <w:pStyle w:val="box454091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</w:rPr>
      </w:pPr>
      <w:r w:rsidRPr="00F83B06">
        <w:rPr>
          <w:rFonts w:ascii="Arial" w:hAnsi="Arial" w:cs="Arial"/>
          <w:color w:val="231F20"/>
        </w:rPr>
        <w:t xml:space="preserve">Članak </w:t>
      </w:r>
      <w:r w:rsidR="00DD0AE9" w:rsidRPr="00F83B06">
        <w:rPr>
          <w:rFonts w:ascii="Arial" w:hAnsi="Arial" w:cs="Arial"/>
          <w:color w:val="231F20"/>
        </w:rPr>
        <w:t>1</w:t>
      </w:r>
      <w:r w:rsidR="00D860A4">
        <w:rPr>
          <w:rFonts w:ascii="Arial" w:hAnsi="Arial" w:cs="Arial"/>
          <w:color w:val="231F20"/>
        </w:rPr>
        <w:t>1</w:t>
      </w:r>
      <w:r w:rsidRPr="00F83B06">
        <w:rPr>
          <w:rFonts w:ascii="Arial" w:hAnsi="Arial" w:cs="Arial"/>
          <w:color w:val="231F20"/>
        </w:rPr>
        <w:t>.</w:t>
      </w:r>
    </w:p>
    <w:p w14:paraId="1D342D15" w14:textId="2571B864" w:rsidR="00EF51EF" w:rsidRPr="00F83B06" w:rsidRDefault="00EF51EF" w:rsidP="00ED149D">
      <w:pPr>
        <w:pStyle w:val="box454091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</w:rPr>
      </w:pPr>
      <w:r w:rsidRPr="00F83B06">
        <w:rPr>
          <w:rFonts w:ascii="Arial" w:hAnsi="Arial" w:cs="Arial"/>
          <w:color w:val="231F20"/>
        </w:rPr>
        <w:t xml:space="preserve">Ova Odluka objavit će se u »Narodnim novinama« i »Službenim novinama Grada </w:t>
      </w:r>
      <w:r w:rsidR="006C2AA1" w:rsidRPr="00F83B06">
        <w:rPr>
          <w:rFonts w:ascii="Arial" w:hAnsi="Arial" w:cs="Arial"/>
          <w:color w:val="231F20"/>
        </w:rPr>
        <w:t>Crikvenice</w:t>
      </w:r>
      <w:r w:rsidRPr="00F83B06">
        <w:rPr>
          <w:rFonts w:ascii="Arial" w:hAnsi="Arial" w:cs="Arial"/>
          <w:color w:val="231F20"/>
        </w:rPr>
        <w:t xml:space="preserve">«, a stupa na snagu </w:t>
      </w:r>
      <w:r w:rsidR="00035313" w:rsidRPr="00F83B06">
        <w:rPr>
          <w:rFonts w:ascii="Arial" w:hAnsi="Arial" w:cs="Arial"/>
          <w:color w:val="231F20"/>
        </w:rPr>
        <w:t>8 dana od dana objave</w:t>
      </w:r>
      <w:r w:rsidR="009A351C">
        <w:rPr>
          <w:rFonts w:ascii="Arial" w:hAnsi="Arial" w:cs="Arial"/>
          <w:color w:val="231F20"/>
        </w:rPr>
        <w:t xml:space="preserve"> u </w:t>
      </w:r>
      <w:r w:rsidR="009A351C" w:rsidRPr="00F83B06">
        <w:rPr>
          <w:rFonts w:ascii="Arial" w:hAnsi="Arial" w:cs="Arial"/>
          <w:color w:val="231F20"/>
        </w:rPr>
        <w:t>»Narodnim novinama«</w:t>
      </w:r>
      <w:r w:rsidRPr="00F83B06">
        <w:rPr>
          <w:rFonts w:ascii="Arial" w:hAnsi="Arial" w:cs="Arial"/>
          <w:color w:val="231F20"/>
        </w:rPr>
        <w:t>.</w:t>
      </w:r>
    </w:p>
    <w:p w14:paraId="75B246EF" w14:textId="3A8DB3FB" w:rsidR="00D310F0" w:rsidRPr="00F83B06" w:rsidRDefault="0087616D" w:rsidP="00EF51EF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310F0" w:rsidRPr="00F83B06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6B601" w14:textId="77777777" w:rsidR="00D860A4" w:rsidRDefault="00D860A4" w:rsidP="00D860A4">
      <w:pPr>
        <w:spacing w:after="0" w:line="240" w:lineRule="auto"/>
      </w:pPr>
      <w:r>
        <w:separator/>
      </w:r>
    </w:p>
  </w:endnote>
  <w:endnote w:type="continuationSeparator" w:id="0">
    <w:p w14:paraId="4596D7AB" w14:textId="77777777" w:rsidR="00D860A4" w:rsidRDefault="00D860A4" w:rsidP="00D8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323329"/>
      <w:docPartObj>
        <w:docPartGallery w:val="Page Numbers (Bottom of Page)"/>
        <w:docPartUnique/>
      </w:docPartObj>
    </w:sdtPr>
    <w:sdtEndPr/>
    <w:sdtContent>
      <w:p w14:paraId="2F5D5967" w14:textId="092F4116" w:rsidR="00D860A4" w:rsidRDefault="00D860A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C61" w:rsidRPr="00793C61">
          <w:rPr>
            <w:noProof/>
            <w:lang w:val="hr-HR"/>
          </w:rPr>
          <w:t>1</w:t>
        </w:r>
        <w:r>
          <w:fldChar w:fldCharType="end"/>
        </w:r>
      </w:p>
    </w:sdtContent>
  </w:sdt>
  <w:p w14:paraId="282ED832" w14:textId="77777777" w:rsidR="00D860A4" w:rsidRDefault="00D86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6A186" w14:textId="77777777" w:rsidR="00D860A4" w:rsidRDefault="00D860A4" w:rsidP="00D860A4">
      <w:pPr>
        <w:spacing w:after="0" w:line="240" w:lineRule="auto"/>
      </w:pPr>
      <w:r>
        <w:separator/>
      </w:r>
    </w:p>
  </w:footnote>
  <w:footnote w:type="continuationSeparator" w:id="0">
    <w:p w14:paraId="5409D649" w14:textId="77777777" w:rsidR="00D860A4" w:rsidRDefault="00D860A4" w:rsidP="00D86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B73"/>
    <w:multiLevelType w:val="hybridMultilevel"/>
    <w:tmpl w:val="590EC7FA"/>
    <w:lvl w:ilvl="0" w:tplc="E326D62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2E232A4"/>
    <w:multiLevelType w:val="hybridMultilevel"/>
    <w:tmpl w:val="268E7178"/>
    <w:lvl w:ilvl="0" w:tplc="07AA4B4C">
      <w:start w:val="4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uxlndXOqOZvUhSru+4Kb5NzRI6VZoAln5BCGSpKLzAVd7tJhWfQvepuc6RzqwizBqbGDaMHtuRFl1plkxwrd6Q==" w:salt="4CjRauJi/SgWeL+efJLHP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EF"/>
    <w:rsid w:val="0000552E"/>
    <w:rsid w:val="00035313"/>
    <w:rsid w:val="0006622A"/>
    <w:rsid w:val="00132AAB"/>
    <w:rsid w:val="00192AD2"/>
    <w:rsid w:val="00220B21"/>
    <w:rsid w:val="00314BD8"/>
    <w:rsid w:val="00350BDD"/>
    <w:rsid w:val="00407EB3"/>
    <w:rsid w:val="0043376E"/>
    <w:rsid w:val="00455D28"/>
    <w:rsid w:val="00493A5E"/>
    <w:rsid w:val="00495EC9"/>
    <w:rsid w:val="004A66EE"/>
    <w:rsid w:val="004B3C45"/>
    <w:rsid w:val="00500384"/>
    <w:rsid w:val="00593DCD"/>
    <w:rsid w:val="005959BD"/>
    <w:rsid w:val="005D2A68"/>
    <w:rsid w:val="005F061E"/>
    <w:rsid w:val="00603F71"/>
    <w:rsid w:val="006476A2"/>
    <w:rsid w:val="0068060B"/>
    <w:rsid w:val="006C2AA1"/>
    <w:rsid w:val="006D3706"/>
    <w:rsid w:val="00752D90"/>
    <w:rsid w:val="00793C61"/>
    <w:rsid w:val="007D7A1A"/>
    <w:rsid w:val="00842E1E"/>
    <w:rsid w:val="0087616D"/>
    <w:rsid w:val="0094603E"/>
    <w:rsid w:val="009A1DF1"/>
    <w:rsid w:val="009A351C"/>
    <w:rsid w:val="009B489B"/>
    <w:rsid w:val="00A1283C"/>
    <w:rsid w:val="00A32679"/>
    <w:rsid w:val="00A34B36"/>
    <w:rsid w:val="00A674DD"/>
    <w:rsid w:val="00BE7F4A"/>
    <w:rsid w:val="00CB1FE5"/>
    <w:rsid w:val="00D05963"/>
    <w:rsid w:val="00D169D4"/>
    <w:rsid w:val="00D310F0"/>
    <w:rsid w:val="00D57CB5"/>
    <w:rsid w:val="00D761BE"/>
    <w:rsid w:val="00D860A4"/>
    <w:rsid w:val="00DA0CFF"/>
    <w:rsid w:val="00DC2D54"/>
    <w:rsid w:val="00DD0AE9"/>
    <w:rsid w:val="00E009E7"/>
    <w:rsid w:val="00E11FF2"/>
    <w:rsid w:val="00ED149D"/>
    <w:rsid w:val="00EF51EF"/>
    <w:rsid w:val="00F83B06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B1F1"/>
  <w15:chartTrackingRefBased/>
  <w15:docId w15:val="{80B07554-37AA-4B94-8119-83398791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EF51EF"/>
  </w:style>
  <w:style w:type="paragraph" w:customStyle="1" w:styleId="box454091">
    <w:name w:val="box_454091"/>
    <w:basedOn w:val="Normal"/>
    <w:rsid w:val="00EF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54295">
    <w:name w:val="box_454295"/>
    <w:basedOn w:val="Normal"/>
    <w:rsid w:val="0040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54061">
    <w:name w:val="box_454061"/>
    <w:basedOn w:val="Normal"/>
    <w:rsid w:val="0035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C2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D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D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60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0A4"/>
  </w:style>
  <w:style w:type="paragraph" w:styleId="Footer">
    <w:name w:val="footer"/>
    <w:basedOn w:val="Normal"/>
    <w:link w:val="FooterChar"/>
    <w:uiPriority w:val="99"/>
    <w:unhideWhenUsed/>
    <w:rsid w:val="00D860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1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F75F-64E3-442D-AB58-6BC33260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4819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Jasna Perhat</cp:lastModifiedBy>
  <cp:revision>2</cp:revision>
  <dcterms:created xsi:type="dcterms:W3CDTF">2017-10-24T08:40:00Z</dcterms:created>
  <dcterms:modified xsi:type="dcterms:W3CDTF">2017-10-24T08:40:00Z</dcterms:modified>
</cp:coreProperties>
</file>