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</w:tblGrid>
      <w:tr w:rsidR="00BB66F3" w:rsidTr="00BB66F3">
        <w:tc>
          <w:tcPr>
            <w:tcW w:w="4608" w:type="dxa"/>
            <w:hideMark/>
          </w:tcPr>
          <w:p w:rsidR="00BB66F3" w:rsidRDefault="00BB66F3">
            <w:pPr>
              <w:pStyle w:val="Header"/>
              <w:tabs>
                <w:tab w:val="left" w:pos="500"/>
                <w:tab w:val="center" w:pos="1789"/>
              </w:tabs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lang w:val="en-US"/>
              </w:rPr>
              <w:br w:type="page"/>
            </w:r>
            <w:r>
              <w:rPr>
                <w:b/>
                <w:i w:val="0"/>
              </w:rPr>
              <w:br w:type="page"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          </w:t>
            </w:r>
            <w:r>
              <w:rPr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6F3" w:rsidTr="00BB66F3">
        <w:tc>
          <w:tcPr>
            <w:tcW w:w="4608" w:type="dxa"/>
            <w:hideMark/>
          </w:tcPr>
          <w:p w:rsidR="00BB66F3" w:rsidRDefault="00BB66F3">
            <w:pPr>
              <w:pStyle w:val="Header"/>
              <w:jc w:val="center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-635</wp:posOffset>
                  </wp:positionV>
                  <wp:extent cx="330200" cy="330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i w:val="0"/>
                <w:sz w:val="24"/>
                <w:szCs w:val="24"/>
              </w:rPr>
              <w:t>REPUBLIKA HRVATSKA</w:t>
            </w:r>
          </w:p>
        </w:tc>
      </w:tr>
      <w:tr w:rsidR="00BB66F3" w:rsidTr="00BB66F3">
        <w:tc>
          <w:tcPr>
            <w:tcW w:w="4608" w:type="dxa"/>
            <w:hideMark/>
          </w:tcPr>
          <w:p w:rsidR="00BB66F3" w:rsidRDefault="00BB66F3">
            <w:pPr>
              <w:pStyle w:val="Header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PRIMORSKO-GORANSKA ŽUPANIJA</w:t>
            </w:r>
          </w:p>
        </w:tc>
      </w:tr>
      <w:tr w:rsidR="00BB66F3" w:rsidTr="00BB66F3">
        <w:trPr>
          <w:trHeight w:val="175"/>
        </w:trPr>
        <w:tc>
          <w:tcPr>
            <w:tcW w:w="4608" w:type="dxa"/>
          </w:tcPr>
          <w:p w:rsidR="00BB66F3" w:rsidRDefault="00BB66F3">
            <w:pPr>
              <w:pStyle w:val="Header"/>
              <w:rPr>
                <w:rFonts w:ascii="Arial Narrow" w:hAnsi="Arial Narrow"/>
                <w:i w:val="0"/>
              </w:rPr>
            </w:pPr>
          </w:p>
        </w:tc>
      </w:tr>
      <w:tr w:rsidR="00BB66F3" w:rsidTr="00BB66F3">
        <w:tc>
          <w:tcPr>
            <w:tcW w:w="4608" w:type="dxa"/>
          </w:tcPr>
          <w:p w:rsidR="00BB66F3" w:rsidRDefault="00BB66F3">
            <w:pPr>
              <w:pStyle w:val="Header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UPRAVNI ODJEL ZA REGIONALNI RAZVOJ,  INFRASTRUKTURU I UPRAVLJANJE PROJEKTIMA</w:t>
            </w:r>
          </w:p>
          <w:p w:rsidR="00BB66F3" w:rsidRDefault="00BB66F3">
            <w:pPr>
              <w:pStyle w:val="Header"/>
              <w:rPr>
                <w:rFonts w:ascii="Arial Narrow" w:hAnsi="Arial Narrow"/>
                <w:i w:val="0"/>
              </w:rPr>
            </w:pPr>
          </w:p>
        </w:tc>
      </w:tr>
    </w:tbl>
    <w:p w:rsidR="00BB66F3" w:rsidRDefault="00BB66F3" w:rsidP="00BB66F3">
      <w:pPr>
        <w:spacing w:before="120"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POTPROGRAM „JAČANJE LJUDSKIH POTENCIJALA NA LOKALNOJ I PODRUČNOJ (REGIONALNOJ) RAZINI ZA UČINKOVITU PRIPREMU I KORIŠTENJE FONDOVA EU“</w:t>
      </w: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Besplatna edukacija: </w:t>
      </w: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„Priprema projekata prihvatljivih za financiranje iz fondova Europske unije“</w:t>
      </w: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četvrtak i petak, 09. i 10. listopada 2014. godine, s početkom u 9.00 sati</w:t>
      </w:r>
    </w:p>
    <w:p w:rsidR="00BB66F3" w:rsidRDefault="00BB66F3" w:rsidP="00BB66F3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Gradskoj vijećnici Grada Crikvenice, Petra Preradovića 1, Crikvenica</w:t>
      </w:r>
    </w:p>
    <w:p w:rsidR="00BB66F3" w:rsidRDefault="00BB66F3" w:rsidP="00BB66F3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četvrtak 09. listopada 2014. godine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09:00 – 09:15</w:t>
      </w:r>
      <w:r>
        <w:rPr>
          <w:rFonts w:ascii="Arial" w:hAnsi="Arial" w:cs="Arial"/>
        </w:rPr>
        <w:tab/>
        <w:t xml:space="preserve">Uvodna riječ, predstavljanje plana edukacije, predavača  i polaznika 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09:15 – 11:15</w:t>
      </w:r>
      <w:r>
        <w:rPr>
          <w:rFonts w:ascii="Arial" w:hAnsi="Arial" w:cs="Arial"/>
        </w:rPr>
        <w:tab/>
        <w:t>Kohezijska politika EU - Strukturni fondovi, Europski fond za regionalni razvoj, Kohezijski fond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11:15 – 11:30</w:t>
      </w:r>
      <w:r>
        <w:rPr>
          <w:rFonts w:ascii="Arial" w:hAnsi="Arial" w:cs="Arial"/>
        </w:rPr>
        <w:tab/>
        <w:t xml:space="preserve">Pauza 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11:30 – 12:45</w:t>
      </w:r>
      <w:r>
        <w:rPr>
          <w:rFonts w:ascii="Arial" w:hAnsi="Arial" w:cs="Arial"/>
        </w:rPr>
        <w:tab/>
        <w:t>Sustav u Republici Hrvatskoj, razlike u odnosu na IPA program, najave natječaja, primjeri iz prakse iz drugih članica EU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12:45 – 13:15</w:t>
      </w:r>
      <w:r>
        <w:rPr>
          <w:rFonts w:ascii="Arial" w:hAnsi="Arial" w:cs="Arial"/>
        </w:rPr>
        <w:tab/>
        <w:t xml:space="preserve">Pauza 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13:15 – 16:15</w:t>
      </w:r>
      <w:r>
        <w:rPr>
          <w:rFonts w:ascii="Arial" w:hAnsi="Arial" w:cs="Arial"/>
        </w:rPr>
        <w:tab/>
        <w:t>Faze projektnog ciklusa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16:15 – 17:00</w:t>
      </w:r>
      <w:r>
        <w:rPr>
          <w:rFonts w:ascii="Arial" w:hAnsi="Arial" w:cs="Arial"/>
        </w:rPr>
        <w:tab/>
        <w:t xml:space="preserve">Pitanja i odgovori, zaključak radionice </w:t>
      </w:r>
    </w:p>
    <w:p w:rsidR="00BB66F3" w:rsidRDefault="00BB66F3" w:rsidP="00BB66F3">
      <w:pPr>
        <w:spacing w:before="240" w:after="240"/>
        <w:ind w:left="2124" w:hanging="2124"/>
        <w:jc w:val="both"/>
        <w:rPr>
          <w:rFonts w:ascii="Arial Narrow" w:hAnsi="Arial Narrow" w:cs="Arial"/>
          <w:b/>
        </w:rPr>
      </w:pPr>
      <w:r>
        <w:rPr>
          <w:rFonts w:ascii="Arial" w:hAnsi="Arial" w:cs="Arial"/>
          <w:b/>
        </w:rPr>
        <w:t>petak 10. listopada 2014. godine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09:00 – 09:15</w:t>
      </w:r>
      <w:r>
        <w:rPr>
          <w:rFonts w:ascii="Arial" w:hAnsi="Arial" w:cs="Arial"/>
        </w:rPr>
        <w:tab/>
        <w:t xml:space="preserve">Uvodna riječ, predstavljanje plana edukacije, predavača  i polaznika 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09:15 – 11:15</w:t>
      </w:r>
      <w:r>
        <w:rPr>
          <w:rFonts w:ascii="Arial" w:hAnsi="Arial" w:cs="Arial"/>
        </w:rPr>
        <w:tab/>
        <w:t xml:space="preserve">Potrebna dokumentacija za prijavu projekata s posebnim naglaskom na Studiju </w:t>
      </w:r>
      <w:proofErr w:type="spellStart"/>
      <w:r>
        <w:rPr>
          <w:rFonts w:ascii="Arial" w:hAnsi="Arial" w:cs="Arial"/>
        </w:rPr>
        <w:t>predizvodljivosti</w:t>
      </w:r>
      <w:proofErr w:type="spellEnd"/>
      <w:r>
        <w:rPr>
          <w:rFonts w:ascii="Arial" w:hAnsi="Arial" w:cs="Arial"/>
        </w:rPr>
        <w:t xml:space="preserve">/izvodljivosti s analizom troškova i koristi (CBA) 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11:15 – 11:30</w:t>
      </w:r>
      <w:r>
        <w:rPr>
          <w:rFonts w:ascii="Arial" w:hAnsi="Arial" w:cs="Arial"/>
        </w:rPr>
        <w:tab/>
        <w:t>Pauza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11:30 – 12:45</w:t>
      </w:r>
      <w:r>
        <w:rPr>
          <w:rFonts w:ascii="Arial" w:hAnsi="Arial" w:cs="Arial"/>
        </w:rPr>
        <w:tab/>
        <w:t>Uvjeti koje projekt treba ispuniti za uspješnu prijavu projekata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12:45 – 13:15</w:t>
      </w:r>
      <w:r>
        <w:rPr>
          <w:rFonts w:ascii="Arial" w:hAnsi="Arial" w:cs="Arial"/>
        </w:rPr>
        <w:tab/>
        <w:t>Pauza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13:15 – 16:15</w:t>
      </w:r>
      <w:r>
        <w:rPr>
          <w:rFonts w:ascii="Arial" w:hAnsi="Arial" w:cs="Arial"/>
        </w:rPr>
        <w:tab/>
        <w:t>Praktičan rad u grupama  </w:t>
      </w:r>
    </w:p>
    <w:p w:rsidR="00BB66F3" w:rsidRDefault="00BB66F3" w:rsidP="00BB66F3">
      <w:pPr>
        <w:spacing w:before="120" w:after="12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16:15 – 17:00</w:t>
      </w:r>
      <w:r>
        <w:rPr>
          <w:rFonts w:ascii="Arial" w:hAnsi="Arial" w:cs="Arial"/>
        </w:rPr>
        <w:tab/>
        <w:t>Pitanja i odgovori, zaključak radionice</w:t>
      </w:r>
    </w:p>
    <w:p w:rsidR="009B5933" w:rsidRDefault="009B5933">
      <w:bookmarkStart w:id="0" w:name="_GoBack"/>
      <w:bookmarkEnd w:id="0"/>
    </w:p>
    <w:sectPr w:rsidR="009B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F3"/>
    <w:rsid w:val="009B5933"/>
    <w:rsid w:val="00B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6F3"/>
    <w:pPr>
      <w:tabs>
        <w:tab w:val="center" w:pos="4536"/>
        <w:tab w:val="right" w:pos="9072"/>
      </w:tabs>
      <w:jc w:val="both"/>
    </w:pPr>
    <w:rPr>
      <w:rFonts w:ascii="Arial" w:hAnsi="Arial" w:cs="Arial"/>
      <w:i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B66F3"/>
    <w:rPr>
      <w:rFonts w:ascii="Arial" w:eastAsia="Times New Roman" w:hAnsi="Arial" w:cs="Arial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F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6F3"/>
    <w:pPr>
      <w:tabs>
        <w:tab w:val="center" w:pos="4536"/>
        <w:tab w:val="right" w:pos="9072"/>
      </w:tabs>
      <w:jc w:val="both"/>
    </w:pPr>
    <w:rPr>
      <w:rFonts w:ascii="Arial" w:hAnsi="Arial" w:cs="Arial"/>
      <w:i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B66F3"/>
    <w:rPr>
      <w:rFonts w:ascii="Arial" w:eastAsia="Times New Roman" w:hAnsi="Arial" w:cs="Arial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F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Mandekić</dc:creator>
  <cp:lastModifiedBy>Denisse Mandekić </cp:lastModifiedBy>
  <cp:revision>1</cp:revision>
  <dcterms:created xsi:type="dcterms:W3CDTF">2014-10-02T06:45:00Z</dcterms:created>
  <dcterms:modified xsi:type="dcterms:W3CDTF">2014-10-02T06:45:00Z</dcterms:modified>
</cp:coreProperties>
</file>